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7D" w:rsidRPr="00A24D72" w:rsidRDefault="009B7E7D" w:rsidP="009B7E7D">
      <w:pPr>
        <w:pStyle w:val="2"/>
        <w:ind w:firstLine="720"/>
        <w:rPr>
          <w:b/>
          <w:sz w:val="27"/>
          <w:szCs w:val="27"/>
        </w:rPr>
      </w:pPr>
      <w:r w:rsidRPr="00A24D72">
        <w:rPr>
          <w:sz w:val="27"/>
          <w:szCs w:val="27"/>
        </w:rPr>
        <w:t>«</w:t>
      </w:r>
      <w:r w:rsidRPr="00A24D72">
        <w:rPr>
          <w:b/>
          <w:sz w:val="27"/>
          <w:szCs w:val="27"/>
        </w:rPr>
        <w:t>РЕКОМЕНДАЦИИ</w:t>
      </w:r>
    </w:p>
    <w:p w:rsidR="009B7E7D" w:rsidRPr="00A24D72" w:rsidRDefault="009B7E7D" w:rsidP="009B7E7D">
      <w:pPr>
        <w:ind w:firstLine="720"/>
        <w:jc w:val="center"/>
        <w:rPr>
          <w:sz w:val="27"/>
          <w:szCs w:val="27"/>
        </w:rPr>
      </w:pPr>
      <w:r w:rsidRPr="00A24D72">
        <w:rPr>
          <w:sz w:val="27"/>
          <w:szCs w:val="27"/>
        </w:rPr>
        <w:t xml:space="preserve">по своевременной и качественной подготовке организаций торговли, общественного питания и бытового обслуживания населения </w:t>
      </w:r>
    </w:p>
    <w:p w:rsidR="009B7E7D" w:rsidRPr="00A24D72" w:rsidRDefault="009B7E7D" w:rsidP="009B7E7D">
      <w:pPr>
        <w:ind w:firstLine="720"/>
        <w:jc w:val="center"/>
        <w:rPr>
          <w:sz w:val="27"/>
          <w:szCs w:val="27"/>
        </w:rPr>
      </w:pPr>
      <w:r w:rsidRPr="00A24D72">
        <w:rPr>
          <w:sz w:val="27"/>
          <w:szCs w:val="27"/>
        </w:rPr>
        <w:t>в особый пожароопасный период 2022 года</w:t>
      </w:r>
    </w:p>
    <w:p w:rsidR="009B7E7D" w:rsidRPr="00A24D72" w:rsidRDefault="009B7E7D" w:rsidP="009B7E7D">
      <w:pPr>
        <w:ind w:firstLine="720"/>
        <w:jc w:val="both"/>
        <w:rPr>
          <w:sz w:val="27"/>
          <w:szCs w:val="27"/>
        </w:rPr>
      </w:pPr>
    </w:p>
    <w:p w:rsidR="009B7E7D" w:rsidRPr="00A24D72" w:rsidRDefault="009B7E7D" w:rsidP="009B7E7D">
      <w:pPr>
        <w:ind w:firstLine="720"/>
        <w:jc w:val="both"/>
        <w:rPr>
          <w:sz w:val="27"/>
          <w:szCs w:val="27"/>
        </w:rPr>
      </w:pPr>
      <w:r w:rsidRPr="00A24D72">
        <w:rPr>
          <w:sz w:val="27"/>
          <w:szCs w:val="27"/>
        </w:rPr>
        <w:t>В целях обеспечения четкой и оперативной работы по подготовке к пожароопасному периоду в 2022 году Министерство торговли и услуг Республики Башкортостан рекомендует:</w:t>
      </w:r>
    </w:p>
    <w:p w:rsidR="009B7E7D" w:rsidRPr="00A24D72" w:rsidRDefault="009B7E7D" w:rsidP="009B7E7D">
      <w:pPr>
        <w:pStyle w:val="a3"/>
        <w:ind w:firstLine="720"/>
        <w:jc w:val="both"/>
        <w:rPr>
          <w:sz w:val="27"/>
          <w:szCs w:val="27"/>
        </w:rPr>
      </w:pPr>
      <w:r w:rsidRPr="00A24D72">
        <w:rPr>
          <w:sz w:val="27"/>
          <w:szCs w:val="27"/>
        </w:rPr>
        <w:t xml:space="preserve">1. Провести заседания комиссий по чрезвычайным ситуациям и обеспечению пожарной безопасности во всех организациях торговли, общественного питания и бытового обслуживания населения по своевременной и качественной подготовке организаций в особый пожароопасный период 2022 года по бесперебойному обеспечению населения питьевой водой, продуктами питания, товарами первой необходимости и услугами. </w:t>
      </w:r>
    </w:p>
    <w:p w:rsidR="009B7E7D" w:rsidRPr="00A24D72" w:rsidRDefault="009B7E7D" w:rsidP="009B7E7D">
      <w:pPr>
        <w:pStyle w:val="21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2. Руководителям организаций торговли, общественного питания и бытового обслуживания населения: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организовать тесное взаимодействие с районной (городской) комиссией по предупреждению и ликвидации чрезвычайных ситуаций и обеспечению пожарной безопасности;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разработать мероприятия по подготовке к пожароопасному периоду, обеспечивающие сохранность товарно-материальных ценностей, хозяйственных строений, оборудования и механизмов и своевременный их вывоз, особенно для объектов торговли и питания, расположенных в лесных массивах;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назначить приказами ответственных должностных лиц за пожарную безопасность отделов, секций, цехов, мастерских, торговых ларьков, палаток, павильонов, буфетов, закусочных, кафетериев, отдельных складов, кладовых, и других помещений;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организовать противопожарную подготовку (противопожарный инструктаж, пожарно-технический минимум) подчиненных работников, не допускать к работе лиц, не прошедших противопожарный инструктаж;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провести инвентаризацию первичных средств пожаротушения и обеспечить все помещения магазинов, предприятий общественного питания, баз и складов первичными средствами пожаротушения;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проверить исправность противопожарной сигнализации, телефонной связи, систем отопления и вентиляции, электроустановок, содержание путей эвакуации, источников водоснабжения на объектах (пожарных гидрантов, рукавов, огнетушителей и др.);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 xml:space="preserve">- разработать и утвердить инструкции о мерах пожарной безопасности с учётом физико-химических и пожароопасных свойств хранимых товаров и технологического оборудования, с использованием данных, указанных в технических паспортах на товары и оборудование; 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 xml:space="preserve">- установить контроль за правильностью хранения и торговли за пожароопасными товарами (баллонов с газами, легковоспламеняющихся и горючих жидкостей, лаков на </w:t>
      </w:r>
      <w:proofErr w:type="spellStart"/>
      <w:r w:rsidRPr="00A24D72">
        <w:rPr>
          <w:sz w:val="27"/>
          <w:szCs w:val="27"/>
        </w:rPr>
        <w:t>нитрооснове</w:t>
      </w:r>
      <w:proofErr w:type="spellEnd"/>
      <w:r w:rsidRPr="00A24D72">
        <w:rPr>
          <w:sz w:val="27"/>
          <w:szCs w:val="27"/>
        </w:rPr>
        <w:t>, нитроэмалей, товаров бытовой химии, товаров в аэрозольной упаковке, целлулоида и изделий из него и других товаров, имеющих повышенную пожарную опасность);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lastRenderedPageBreak/>
        <w:t>- провести инструктаж всех работников по пожарной безопасности, осуществляющих работы, связанные с выполнением мероприятий по обеспечению сохранности товарно-материальных ценностей, хозяйственных строений, оборудования и механизмов;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запретить разведение костров, проведение пожароопасных работ, сжигание мусора и сухой травы вне установленных мест;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обеспечить своевременную защиту бытовых и промышленных отходов или своевременный их вывоз за пределы объектов в целях предупреждения пожаров;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обеспечить исправное содержание дорог, проездов и подъездов к зданиям, сооружениям и строениям, открытым складам, наружным пожарным лестницам и пожарным гидрантам;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- запретить использование для стоянки автомобилей разворотные и специальные площадки, предназначенные для установки пожарно-спасательной техники.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3. Предприятиям и организациям общественного питания быть готовыми к обеспечению горячим трёхразовым питанием личный состав аварийно-спасательных бригад, привлекаемых для ликвидации пожаров, и эвакуированного населения на пожароопасный период.</w:t>
      </w:r>
    </w:p>
    <w:p w:rsidR="009B7E7D" w:rsidRPr="00A24D72" w:rsidRDefault="009B7E7D" w:rsidP="009B7E7D">
      <w:pPr>
        <w:pStyle w:val="a5"/>
        <w:ind w:firstLine="720"/>
        <w:rPr>
          <w:sz w:val="27"/>
          <w:szCs w:val="27"/>
        </w:rPr>
      </w:pPr>
      <w:r w:rsidRPr="00A24D72">
        <w:rPr>
          <w:sz w:val="27"/>
          <w:szCs w:val="27"/>
        </w:rPr>
        <w:t>4. Разработку и реализацию мероприятий по своевременной и качественной подготовке организаций торговли, общественного питания и бытового обслуживания населения в особый пожароопасный период 2022 года рекомендуется осуществлять с учетом основных направлений работ предусмотренных Планом действий муниципального района или городского округа по смягчению последствий чрезвычайных ситуаций, вызванных пожарами природного и техногенного характера.»</w:t>
      </w:r>
    </w:p>
    <w:p w:rsidR="009B7E7D" w:rsidRPr="00A24D72" w:rsidRDefault="009B7E7D" w:rsidP="009B7E7D">
      <w:pPr>
        <w:rPr>
          <w:sz w:val="27"/>
          <w:szCs w:val="27"/>
        </w:rPr>
      </w:pPr>
    </w:p>
    <w:p w:rsidR="00D5424D" w:rsidRDefault="00D5424D">
      <w:bookmarkStart w:id="0" w:name="_GoBack"/>
      <w:bookmarkEnd w:id="0"/>
    </w:p>
    <w:sectPr w:rsidR="00D5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D"/>
    <w:rsid w:val="009B7E7D"/>
    <w:rsid w:val="00D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8610-740D-4124-9F62-E041BD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B7E7D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E7D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9B7E7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9B7E7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semiHidden/>
    <w:unhideWhenUsed/>
    <w:rsid w:val="009B7E7D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9B7E7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9B7E7D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9B7E7D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2022-05-13T04:08:00Z</dcterms:created>
  <dcterms:modified xsi:type="dcterms:W3CDTF">2022-05-13T04:08:00Z</dcterms:modified>
</cp:coreProperties>
</file>